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47B131F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48"/>
          <w:szCs w:val="48"/>
        </w:rPr>
        <w:t>益阳市森林公安局2026年单位预算公开说明</w:t>
      </w:r>
      <w:r>
        <w:rPr>
          <w:color w:val="000000"/>
        </w:rPr>
        <w:t xml:space="preserve"> </w:t>
      </w:r>
    </w:p>
    <w:p w14:paraId="538BF829">
      <w:pPr>
        <w:spacing w:before="0" w:beforeAutospacing="0" w:after="2" w:afterAutospacing="0"/>
        <w:jc w:val="center"/>
      </w:pPr>
      <w:r>
        <w:rPr>
          <w:rFonts w:ascii="宋体" w:hAnsi="宋体" w:eastAsia="宋体" w:cs="宋体"/>
          <w:color w:val="000000"/>
          <w:sz w:val="32"/>
          <w:szCs w:val="32"/>
        </w:rPr>
        <w:t> </w:t>
      </w:r>
      <w:r>
        <w:rPr>
          <w:color w:val="000000"/>
        </w:rPr>
        <w:t xml:space="preserve"> </w:t>
      </w:r>
    </w:p>
    <w:p w14:paraId="42C28323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36"/>
          <w:szCs w:val="36"/>
        </w:rPr>
        <w:t>目 录</w:t>
      </w:r>
      <w:r>
        <w:rPr>
          <w:color w:val="000000"/>
        </w:rPr>
        <w:t xml:space="preserve"> </w:t>
      </w:r>
    </w:p>
    <w:p w14:paraId="2A223B53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第一部分 2026年单位预算说明</w:t>
      </w:r>
      <w:r>
        <w:rPr>
          <w:color w:val="000000"/>
        </w:rPr>
        <w:t xml:space="preserve"> </w:t>
      </w:r>
    </w:p>
    <w:p w14:paraId="5B9C99CE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一、单位基本概况</w:t>
      </w:r>
      <w:r>
        <w:rPr>
          <w:color w:val="000000"/>
        </w:rPr>
        <w:t xml:space="preserve"> </w:t>
      </w:r>
    </w:p>
    <w:p w14:paraId="6218F76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（一）职能职责</w:t>
      </w:r>
      <w:r>
        <w:rPr>
          <w:color w:val="000000"/>
        </w:rPr>
        <w:t xml:space="preserve"> </w:t>
      </w:r>
    </w:p>
    <w:p w14:paraId="4A600516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（二）机构设置</w:t>
      </w:r>
      <w:r>
        <w:rPr>
          <w:color w:val="000000"/>
        </w:rPr>
        <w:t xml:space="preserve"> </w:t>
      </w:r>
    </w:p>
    <w:p w14:paraId="79FD82E7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二、预算单位构成</w:t>
      </w:r>
      <w:r>
        <w:rPr>
          <w:color w:val="000000"/>
        </w:rPr>
        <w:t xml:space="preserve"> </w:t>
      </w:r>
    </w:p>
    <w:p w14:paraId="57BA2737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三、单位收支总体情况</w:t>
      </w:r>
      <w:r>
        <w:rPr>
          <w:color w:val="000000"/>
        </w:rPr>
        <w:t xml:space="preserve"> </w:t>
      </w:r>
    </w:p>
    <w:p w14:paraId="22C507EF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（一）收入预算</w:t>
      </w:r>
      <w:r>
        <w:rPr>
          <w:color w:val="000000"/>
        </w:rPr>
        <w:t xml:space="preserve"> </w:t>
      </w:r>
    </w:p>
    <w:p w14:paraId="6EB8D4CC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（二）支出预算</w:t>
      </w:r>
      <w:r>
        <w:rPr>
          <w:color w:val="000000"/>
        </w:rPr>
        <w:t xml:space="preserve"> </w:t>
      </w:r>
    </w:p>
    <w:p w14:paraId="2A95832C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四、一般公共预算拨款支出</w:t>
      </w:r>
      <w:r>
        <w:rPr>
          <w:color w:val="000000"/>
        </w:rPr>
        <w:t xml:space="preserve"> </w:t>
      </w:r>
    </w:p>
    <w:p w14:paraId="7232B9E5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（一）基本支出</w:t>
      </w:r>
      <w:r>
        <w:rPr>
          <w:color w:val="000000"/>
        </w:rPr>
        <w:t xml:space="preserve"> </w:t>
      </w:r>
    </w:p>
    <w:p w14:paraId="00D7C287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（二）项目支出</w:t>
      </w:r>
      <w:r>
        <w:rPr>
          <w:color w:val="000000"/>
        </w:rPr>
        <w:t xml:space="preserve"> </w:t>
      </w:r>
    </w:p>
    <w:p w14:paraId="655E4958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五、政府性基金预算支出</w:t>
      </w:r>
      <w:r>
        <w:rPr>
          <w:color w:val="000000"/>
        </w:rPr>
        <w:t xml:space="preserve"> </w:t>
      </w:r>
    </w:p>
    <w:p w14:paraId="3024C1AA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六、其他重要事项的情况说明</w:t>
      </w:r>
      <w:r>
        <w:rPr>
          <w:color w:val="000000"/>
        </w:rPr>
        <w:t xml:space="preserve"> </w:t>
      </w:r>
    </w:p>
    <w:p w14:paraId="10CE10BD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（一）机关运行经费</w:t>
      </w:r>
      <w:r>
        <w:rPr>
          <w:color w:val="000000"/>
        </w:rPr>
        <w:t xml:space="preserve"> </w:t>
      </w:r>
    </w:p>
    <w:p w14:paraId="47E2D289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（二）“三公”经费预算</w:t>
      </w:r>
      <w:r>
        <w:rPr>
          <w:color w:val="000000"/>
        </w:rPr>
        <w:t xml:space="preserve"> </w:t>
      </w:r>
    </w:p>
    <w:p w14:paraId="4665D5A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（三）一般性支出情况</w:t>
      </w:r>
      <w:r>
        <w:rPr>
          <w:color w:val="000000"/>
        </w:rPr>
        <w:t xml:space="preserve"> </w:t>
      </w:r>
    </w:p>
    <w:p w14:paraId="68663365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（四）政府采购情况</w:t>
      </w:r>
      <w:r>
        <w:rPr>
          <w:color w:val="000000"/>
        </w:rPr>
        <w:t xml:space="preserve"> </w:t>
      </w:r>
    </w:p>
    <w:p w14:paraId="2F67C67C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（五）国有资产占用使用及新增资产配置情况</w:t>
      </w:r>
      <w:r>
        <w:rPr>
          <w:color w:val="000000"/>
        </w:rPr>
        <w:t xml:space="preserve"> </w:t>
      </w:r>
    </w:p>
    <w:p w14:paraId="68AEF4DE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（六）单位整体支出、单位项目支出、重点（专项）项目支出预算绩效目标情况说明</w:t>
      </w:r>
      <w:r>
        <w:rPr>
          <w:color w:val="000000"/>
        </w:rPr>
        <w:t xml:space="preserve"> </w:t>
      </w:r>
    </w:p>
    <w:p w14:paraId="7B1D39F5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七、名词解释</w:t>
      </w:r>
    </w:p>
    <w:p w14:paraId="37D074B2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第二部分</w:t>
      </w:r>
      <w:r>
        <w:rPr>
          <w:b/>
          <w:bCs/>
          <w:color w:val="000000"/>
        </w:rPr>
        <w:t xml:space="preserve"> </w:t>
      </w: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2026年单位预算表</w:t>
      </w:r>
      <w:r>
        <w:rPr>
          <w:color w:val="000000"/>
        </w:rPr>
        <w:t xml:space="preserve"> </w:t>
      </w:r>
    </w:p>
    <w:p w14:paraId="5B8AE333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1、收支总表</w:t>
      </w:r>
      <w:r>
        <w:rPr>
          <w:color w:val="000000"/>
        </w:rPr>
        <w:t xml:space="preserve"> </w:t>
      </w:r>
    </w:p>
    <w:p w14:paraId="4AA85EC2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2、收入总表</w:t>
      </w:r>
      <w:r>
        <w:rPr>
          <w:color w:val="000000"/>
        </w:rPr>
        <w:t xml:space="preserve"> </w:t>
      </w:r>
    </w:p>
    <w:p w14:paraId="6C421CB2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3、支出总表</w:t>
      </w:r>
      <w:r>
        <w:rPr>
          <w:color w:val="000000"/>
        </w:rPr>
        <w:t xml:space="preserve"> </w:t>
      </w:r>
    </w:p>
    <w:p w14:paraId="121A7F8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4、支出预算分类汇总表（按政府预算经济分类）</w:t>
      </w:r>
      <w:r>
        <w:rPr>
          <w:color w:val="000000"/>
        </w:rPr>
        <w:t xml:space="preserve"> </w:t>
      </w:r>
    </w:p>
    <w:p w14:paraId="0D43242E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5、支出预算分类汇总表（按单位预算经济分类）</w:t>
      </w:r>
      <w:r>
        <w:rPr>
          <w:color w:val="000000"/>
        </w:rPr>
        <w:t xml:space="preserve"> </w:t>
      </w:r>
    </w:p>
    <w:p w14:paraId="796BED35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6、财政拨款收支总表</w:t>
      </w:r>
      <w:r>
        <w:rPr>
          <w:color w:val="000000"/>
        </w:rPr>
        <w:t xml:space="preserve"> </w:t>
      </w:r>
    </w:p>
    <w:p w14:paraId="7172E53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7、一般公共预算支出表</w:t>
      </w:r>
      <w:r>
        <w:rPr>
          <w:color w:val="000000"/>
        </w:rPr>
        <w:t xml:space="preserve"> </w:t>
      </w:r>
    </w:p>
    <w:p w14:paraId="31B4E8C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8、一般公共预算基本支出表（纵向）</w:t>
      </w:r>
      <w:r>
        <w:rPr>
          <w:color w:val="000000"/>
        </w:rPr>
        <w:t xml:space="preserve"> </w:t>
      </w:r>
    </w:p>
    <w:p w14:paraId="5DAD066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9、一般公共预算基本支出表（横向）</w:t>
      </w:r>
      <w:r>
        <w:rPr>
          <w:color w:val="000000"/>
        </w:rPr>
        <w:t xml:space="preserve"> </w:t>
      </w:r>
    </w:p>
    <w:p w14:paraId="0EB99EA8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10、一般公共预算基本支出表--人员经费(工资福利支出)(按政府预算经济分类)</w:t>
      </w:r>
      <w:r>
        <w:rPr>
          <w:color w:val="000000"/>
        </w:rPr>
        <w:t xml:space="preserve"> </w:t>
      </w:r>
    </w:p>
    <w:p w14:paraId="6B775AAB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11、一般公共预算基本支出表--人员经费(工资福利支出)(按单位预算经济分类)</w:t>
      </w:r>
      <w:r>
        <w:rPr>
          <w:color w:val="000000"/>
        </w:rPr>
        <w:t xml:space="preserve"> </w:t>
      </w:r>
    </w:p>
    <w:p w14:paraId="1F18A6C3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12、一般公共预算基本支出表--人员经费(对个人和家庭的补助)(按政府预算经济分类)</w:t>
      </w:r>
      <w:r>
        <w:rPr>
          <w:color w:val="000000"/>
        </w:rPr>
        <w:t xml:space="preserve"> </w:t>
      </w:r>
    </w:p>
    <w:p w14:paraId="27647B76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13、一般公共预算基本支出表--人员经费(对个人和家庭的补助)（按单位预算经济分类）</w:t>
      </w:r>
      <w:r>
        <w:rPr>
          <w:color w:val="000000"/>
        </w:rPr>
        <w:t xml:space="preserve"> </w:t>
      </w:r>
    </w:p>
    <w:p w14:paraId="79FBE62A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14、一般公共预算基本支出表--公用经费(商品和服务支出)（按政府预算经济分类）</w:t>
      </w:r>
      <w:r>
        <w:rPr>
          <w:color w:val="000000"/>
        </w:rPr>
        <w:t xml:space="preserve"> </w:t>
      </w:r>
    </w:p>
    <w:p w14:paraId="087F511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15、一般公共预算基本支出表--公用经费(商品和服务支出)(按单位预算经济分类)</w:t>
      </w:r>
      <w:r>
        <w:rPr>
          <w:color w:val="000000"/>
        </w:rPr>
        <w:t xml:space="preserve"> </w:t>
      </w:r>
    </w:p>
    <w:p w14:paraId="0E541CFA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16、一般公共预算“三公”经费支出表</w:t>
      </w:r>
      <w:r>
        <w:rPr>
          <w:color w:val="000000"/>
        </w:rPr>
        <w:t xml:space="preserve"> </w:t>
      </w:r>
    </w:p>
    <w:p w14:paraId="0A4A06B1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17、政府性基金预算支出表</w:t>
      </w:r>
      <w:r>
        <w:rPr>
          <w:color w:val="000000"/>
        </w:rPr>
        <w:t xml:space="preserve"> </w:t>
      </w:r>
    </w:p>
    <w:p w14:paraId="10C2098D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18、政府性基金预算支出分类汇总表（按政府预算经济分类）</w:t>
      </w:r>
      <w:r>
        <w:rPr>
          <w:color w:val="000000"/>
        </w:rPr>
        <w:t xml:space="preserve"> </w:t>
      </w:r>
    </w:p>
    <w:p w14:paraId="2C35010A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19、政府性基金预算支出分类汇总表（按单位预算经济分类）</w:t>
      </w:r>
      <w:r>
        <w:rPr>
          <w:color w:val="000000"/>
        </w:rPr>
        <w:t xml:space="preserve"> </w:t>
      </w:r>
    </w:p>
    <w:p w14:paraId="16EE0143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20、国有资本经营预算表</w:t>
      </w:r>
      <w:r>
        <w:rPr>
          <w:color w:val="000000"/>
        </w:rPr>
        <w:t xml:space="preserve"> </w:t>
      </w:r>
    </w:p>
    <w:p w14:paraId="536E93F1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21、财政专户管理资金预算支出表</w:t>
      </w:r>
      <w:r>
        <w:rPr>
          <w:color w:val="000000"/>
        </w:rPr>
        <w:t xml:space="preserve"> </w:t>
      </w:r>
    </w:p>
    <w:p w14:paraId="776C2A0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22、专项资金预算汇总表</w:t>
      </w:r>
      <w:r>
        <w:rPr>
          <w:color w:val="000000"/>
        </w:rPr>
        <w:t xml:space="preserve"> </w:t>
      </w:r>
    </w:p>
    <w:p w14:paraId="50E5CA36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23、项目支出绩效目标表</w:t>
      </w:r>
      <w:r>
        <w:rPr>
          <w:color w:val="000000"/>
        </w:rPr>
        <w:t xml:space="preserve"> </w:t>
      </w:r>
    </w:p>
    <w:p w14:paraId="18CE5AEA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24、整体支出绩效目标表</w:t>
      </w:r>
      <w:r>
        <w:rPr>
          <w:color w:val="000000"/>
        </w:rPr>
        <w:t xml:space="preserve"> </w:t>
      </w:r>
    </w:p>
    <w:p w14:paraId="5FC52A22">
      <w:pPr>
        <w:spacing w:before="0" w:beforeAutospacing="0" w:after="2" w:afterAutospacing="0"/>
        <w:ind w:left="0" w:firstLine="643"/>
      </w:pPr>
      <w:r>
        <w:rPr>
          <w:rStyle w:val="12"/>
          <w:rFonts w:ascii="宋体" w:hAnsi="宋体" w:eastAsia="宋体" w:cs="宋体"/>
          <w:color w:val="000000"/>
          <w:sz w:val="28"/>
          <w:szCs w:val="28"/>
        </w:rPr>
        <w:t>注：以上</w:t>
      </w:r>
      <w:r>
        <w:rPr>
          <w:rStyle w:val="12"/>
          <w:rFonts w:ascii="宋体" w:hAnsi="宋体" w:eastAsia="宋体" w:cs="宋体"/>
          <w:b/>
          <w:bCs/>
          <w:color w:val="000000"/>
          <w:sz w:val="28"/>
          <w:szCs w:val="28"/>
        </w:rPr>
        <w:t>单位</w:t>
      </w:r>
      <w:r>
        <w:rPr>
          <w:rStyle w:val="12"/>
          <w:rFonts w:ascii="宋体" w:hAnsi="宋体" w:eastAsia="宋体" w:cs="宋体"/>
          <w:color w:val="000000"/>
          <w:sz w:val="28"/>
          <w:szCs w:val="28"/>
        </w:rPr>
        <w:t>预算报表中，空表表示本</w:t>
      </w:r>
      <w:r>
        <w:rPr>
          <w:rStyle w:val="12"/>
          <w:rFonts w:ascii="宋体" w:hAnsi="宋体" w:eastAsia="宋体" w:cs="宋体"/>
          <w:b/>
          <w:bCs/>
          <w:color w:val="000000"/>
          <w:sz w:val="28"/>
          <w:szCs w:val="28"/>
        </w:rPr>
        <w:t>单位</w:t>
      </w:r>
      <w:r>
        <w:rPr>
          <w:rStyle w:val="12"/>
          <w:rFonts w:ascii="宋体" w:hAnsi="宋体" w:eastAsia="宋体" w:cs="宋体"/>
          <w:color w:val="000000"/>
          <w:sz w:val="28"/>
          <w:szCs w:val="28"/>
        </w:rPr>
        <w:t>无相关收支情况。</w:t>
      </w:r>
      <w:r>
        <w:rPr>
          <w:color w:val="000000"/>
        </w:rPr>
        <w:t xml:space="preserve"> </w:t>
      </w:r>
    </w:p>
    <w:p w14:paraId="1618553E">
      <w:pPr>
        <w:spacing w:before="0" w:beforeAutospacing="0" w:after="2" w:afterAutospacing="0"/>
      </w:pPr>
      <w:r>
        <w:rPr>
          <w:rFonts w:ascii="宋体" w:hAnsi="宋体" w:eastAsia="宋体" w:cs="宋体"/>
          <w:color w:val="000000"/>
          <w:sz w:val="32"/>
          <w:szCs w:val="32"/>
        </w:rPr>
        <w:t> </w:t>
      </w:r>
      <w:r>
        <w:rPr>
          <w:color w:val="000000"/>
        </w:rPr>
        <w:t xml:space="preserve"> </w:t>
      </w:r>
    </w:p>
    <w:p w14:paraId="0E982507">
      <w:pPr>
        <w:spacing w:before="0" w:beforeAutospacing="0" w:after="2" w:afterAutospacing="0"/>
      </w:pPr>
    </w:p>
    <w:p w14:paraId="3DB29729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40"/>
          <w:szCs w:val="40"/>
        </w:rPr>
        <w:t>第一部分 2026年单位预算说明</w:t>
      </w:r>
      <w:r>
        <w:rPr>
          <w:color w:val="000000"/>
        </w:rPr>
        <w:t xml:space="preserve"> </w:t>
      </w:r>
    </w:p>
    <w:p w14:paraId="2F9716CF">
      <w:pPr>
        <w:spacing w:before="0" w:beforeAutospacing="0" w:after="2" w:afterAutospacing="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 </w:t>
      </w:r>
      <w:r>
        <w:rPr>
          <w:color w:val="000000"/>
        </w:rPr>
        <w:t xml:space="preserve"> </w:t>
      </w:r>
    </w:p>
    <w:p w14:paraId="0E0A1915">
      <w:pPr>
        <w:spacing w:before="0" w:beforeAutospacing="0" w:after="2" w:afterAutospacing="0"/>
        <w:ind w:left="0" w:firstLine="627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一、</w:t>
      </w:r>
      <w:r>
        <w:rPr>
          <w:rStyle w:val="12"/>
          <w:rFonts w:ascii="宋体" w:hAnsi="宋体" w:eastAsia="宋体" w:cs="宋体"/>
          <w:b/>
          <w:bCs/>
          <w:color w:val="000000"/>
          <w:sz w:val="32"/>
          <w:szCs w:val="32"/>
        </w:rPr>
        <w:t>单位</w:t>
      </w: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基本概况</w:t>
      </w:r>
      <w:r>
        <w:rPr>
          <w:color w:val="000000"/>
        </w:rPr>
        <w:t xml:space="preserve"> </w:t>
      </w:r>
    </w:p>
    <w:p w14:paraId="16026E0E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（一）职能职责</w:t>
      </w:r>
      <w:r>
        <w:rPr>
          <w:color w:val="000000"/>
        </w:rPr>
        <w:t xml:space="preserve"> </w:t>
      </w:r>
    </w:p>
    <w:p w14:paraId="50D81147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1、承担森林防灭火相关工作，负责火场警戒、交通疏导、治安维护、火案侦破等。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315C651B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2、查处森林领域其他违法犯罪行为，协同林业部门开展防火宣传、火灾隐患排查、重点领域巡护、违规用火处罚等工作。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6B7DA9C1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3、组织对生态环境、生物安全等领域犯罪案件侦查。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43B52C62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（二）机构设置</w:t>
      </w:r>
      <w:r>
        <w:rPr>
          <w:color w:val="000000"/>
        </w:rPr>
        <w:t xml:space="preserve"> </w:t>
      </w:r>
    </w:p>
    <w:p w14:paraId="022451D5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益阳市森林公安局内设机构包括：内设4个大队，分别为综合大队、环境与自然资源犯罪侦查大队、森林资源犯罪侦查大队、野生动物资源犯罪侦查大队。本部门共有编制人数24人，实有人数30人，其中在职20人，退休10人。</w:t>
      </w:r>
      <w:r>
        <w:rPr>
          <w:color w:val="000000"/>
        </w:rPr>
        <w:t xml:space="preserve"> </w:t>
      </w:r>
    </w:p>
    <w:p w14:paraId="51818558">
      <w:pPr>
        <w:spacing w:before="0" w:beforeAutospacing="0" w:after="2" w:afterAutospacing="0"/>
        <w:ind w:left="0" w:firstLine="627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二、预算单位构成</w:t>
      </w:r>
      <w:r>
        <w:rPr>
          <w:color w:val="000000"/>
        </w:rPr>
        <w:t xml:space="preserve"> </w:t>
      </w:r>
    </w:p>
    <w:p w14:paraId="08B5F832">
      <w:pPr>
        <w:spacing w:before="0" w:beforeAutospacing="0" w:after="2" w:afterAutospacing="0"/>
        <w:ind w:left="0" w:firstLine="627"/>
      </w:pPr>
      <w:r>
        <w:rPr>
          <w:rFonts w:ascii="宋体" w:hAnsi="宋体" w:eastAsia="宋体" w:cs="宋体"/>
          <w:color w:val="000000"/>
          <w:sz w:val="32"/>
          <w:szCs w:val="32"/>
        </w:rPr>
        <w:t>益阳市森林公安局预算公开只有本级，没有其他预算单位，纳入编制范围的预算单位仅含益阳市森林公安局本级。</w:t>
      </w:r>
    </w:p>
    <w:p w14:paraId="30AEEB27">
      <w:pPr>
        <w:spacing w:before="0" w:beforeAutospacing="0" w:after="2" w:afterAutospacing="0"/>
        <w:ind w:left="0" w:firstLine="627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三、</w:t>
      </w:r>
      <w:r>
        <w:rPr>
          <w:rStyle w:val="12"/>
          <w:rFonts w:ascii="宋体" w:hAnsi="宋体" w:eastAsia="宋体" w:cs="宋体"/>
          <w:b/>
          <w:bCs/>
          <w:color w:val="000000"/>
          <w:sz w:val="32"/>
          <w:szCs w:val="32"/>
        </w:rPr>
        <w:t>单位</w:t>
      </w: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收支总体情况</w:t>
      </w:r>
      <w:r>
        <w:rPr>
          <w:color w:val="000000"/>
        </w:rPr>
        <w:t xml:space="preserve"> </w:t>
      </w:r>
    </w:p>
    <w:p w14:paraId="4EE79A12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（一）收入预算：</w:t>
      </w:r>
      <w:r>
        <w:rPr>
          <w:rFonts w:ascii="宋体" w:hAnsi="宋体" w:eastAsia="宋体" w:cs="宋体"/>
          <w:color w:val="000000"/>
          <w:sz w:val="32"/>
          <w:szCs w:val="32"/>
        </w:rPr>
        <w:t>包括一般公共预算、政府性基金、国有资本经营预算等财政拨款收入，以及经营收入、事业收入等单位资金。2026年本单位收入预算550.06万元，其中，公共财政预算拨款510.06万元，纳入预算管理的非税收入拨款40万元。收入较去年减少0.31万元，主要原因是核减了基层党组织活动经费和退休干部党组织工作经费。</w:t>
      </w:r>
      <w:r>
        <w:rPr>
          <w:color w:val="000000"/>
        </w:rPr>
        <w:t xml:space="preserve"> </w:t>
      </w:r>
    </w:p>
    <w:p w14:paraId="0E7BB54F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（二）支出预算：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2026年本单位支出预算550.06万元，其中：公共安全支出431.7万元，社会保障和就业支出59.08万元，卫生健康支出32.36万元，住房保障支出26.92万元。支出较去年减少0.31万元，主要原因是核减了基层党组织活动经费。</w:t>
      </w:r>
      <w:r>
        <w:rPr>
          <w:color w:val="000000"/>
        </w:rPr>
        <w:t xml:space="preserve"> </w:t>
      </w:r>
    </w:p>
    <w:p w14:paraId="30E42424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四、一般公共预算拨款支出</w:t>
      </w:r>
      <w:r>
        <w:rPr>
          <w:color w:val="000000"/>
        </w:rPr>
        <w:t xml:space="preserve"> </w:t>
      </w:r>
    </w:p>
    <w:p w14:paraId="5DB24405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</w:rPr>
        <w:t>2026年本单位一般公共预算拨款支出预算550.06万元，其中：公共安全支出431.7万元，占78.48%；社会保障和就业支出59.08万元，占10.74%；卫生健康支出32.36万元，占5.88%；住房保障支出26.92万元，占4.89%。具体安排情况如下：</w:t>
      </w:r>
      <w:r>
        <w:rPr>
          <w:color w:val="000000"/>
        </w:rPr>
        <w:t xml:space="preserve"> </w:t>
      </w:r>
    </w:p>
    <w:p w14:paraId="028BD7FD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（一）基本支出：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2026年本单位基本支出预算510.06万元，主要是为保障单位正常运转、完成日常工作任务而发生的各项支出，包括用于基本工资、津贴补贴等人员经费以及办公费、印刷费、水电费、办公设备购置等公用经费。</w:t>
      </w:r>
      <w:r>
        <w:rPr>
          <w:color w:val="000000"/>
        </w:rPr>
        <w:t xml:space="preserve"> </w:t>
      </w:r>
    </w:p>
    <w:p w14:paraId="47088FD0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（二）项目支出：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项目支出预算40万元，主要是单位为完成特定行政工作任务或事业发展目标而发生的支出，包括有关事业发展专项、专项业务费、基本建设支出等。其中：行政运行支出40万元，主要用于案件侦办、森林防灭火工作等方面。</w:t>
      </w:r>
      <w:r>
        <w:rPr>
          <w:color w:val="000000"/>
        </w:rPr>
        <w:t xml:space="preserve"> </w:t>
      </w:r>
    </w:p>
    <w:p w14:paraId="29C568EC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五、政府性基金预算支出</w:t>
      </w:r>
      <w:r>
        <w:rPr>
          <w:color w:val="000000"/>
        </w:rPr>
        <w:t xml:space="preserve"> </w:t>
      </w:r>
    </w:p>
    <w:p w14:paraId="365544A1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  <w:shd w:val="clear" w:fill="FFFFFF"/>
        </w:rPr>
        <w:t>本单位无政府性基金安排的支出。</w:t>
      </w:r>
      <w:r>
        <w:rPr>
          <w:color w:val="000000"/>
        </w:rPr>
        <w:t xml:space="preserve"> </w:t>
      </w:r>
    </w:p>
    <w:p w14:paraId="06CACB27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六、其他重要事项的情况说明</w:t>
      </w:r>
      <w:r>
        <w:rPr>
          <w:color w:val="000000"/>
        </w:rPr>
        <w:t xml:space="preserve"> </w:t>
      </w:r>
    </w:p>
    <w:p w14:paraId="5B11E671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（一）机关运行经费：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2026年本单位机关运行经费82.91万元，比上年预算减少14.22万元，下降14.64%，主要原因是一是在职人数减少，二是基层党组织活动经费核减。</w:t>
      </w:r>
      <w:r>
        <w:rPr>
          <w:color w:val="000000"/>
        </w:rPr>
        <w:t xml:space="preserve"> </w:t>
      </w:r>
    </w:p>
    <w:p w14:paraId="38A73A6F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（二）“三公”经费预算：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“三公”经费预算数为9万元，其中，公务接待费1万元，公务用车购置及运行费8万元（其中，公务用车购置费0万元，公务用车运行费8万元），因公出国（境）费0万元。2026年“三公”经费预算较2025年增加7万元，主要原因是2025年起取消了公车运行维护费预算，2026年从运转经费中明确了公车运行维护费8万元。</w:t>
      </w:r>
      <w:r>
        <w:rPr>
          <w:color w:val="000000"/>
        </w:rPr>
        <w:t xml:space="preserve"> </w:t>
      </w:r>
    </w:p>
    <w:p w14:paraId="0F6793A0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（三）一般性支出情况：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会议费预算1万元，拟召开全市森林公安工作会议，人数40人，内容为森林公安工作年度总结及下年度工作部署等；培训费预算2万元，拟召开森林公安业务培训，人数70人，内容为案件办理、森林防灭火等；拟举办0场节庆、晚会、论坛、赛事活动，经费预算0万元。</w:t>
      </w:r>
      <w:r>
        <w:rPr>
          <w:color w:val="000000"/>
        </w:rPr>
        <w:t xml:space="preserve"> </w:t>
      </w:r>
    </w:p>
    <w:p w14:paraId="0D04D84E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（四）政府采购情况：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2026年本单位政府采购预算总额0万元，其中，货物类采购预算0万元；工程类采购预算0万元；服务类采购预算0万元。</w:t>
      </w:r>
      <w:r>
        <w:rPr>
          <w:color w:val="000000"/>
        </w:rPr>
        <w:t xml:space="preserve"> </w:t>
      </w:r>
    </w:p>
    <w:p w14:paraId="7936CE5E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（五）国有资产占用使用及新增资产配置情况：</w:t>
      </w:r>
      <w:r>
        <w:rPr>
          <w:rFonts w:ascii="宋体" w:hAnsi="宋体" w:eastAsia="宋体" w:cs="宋体"/>
          <w:color w:val="000000"/>
          <w:sz w:val="32"/>
          <w:szCs w:val="32"/>
        </w:rPr>
        <w:t>截至2025年12月底，本部门共有公务用车3辆，其中，机要通信用车0辆，应急保障用车0辆，执法执勤用车3辆，专业技术用车0辆，特种专业技术用车0辆，业务用车0辆，其他按照规定配备的公务用车0辆；单位价值50万元以上通用设备0台，单位价值100万元以上专用设备0台。2026年拟新增配置公务用车0辆，其中，机要通信用车0辆，应急保障用车0辆，执法执勤用车0辆，专业技术用车0辆，特种专业技术用车0辆，业务用车0辆，其他按照规定配备的公务用车0辆；新增配备单位价值50万元以上通用设备0台，单位价值100万元以上专用设备0台。</w:t>
      </w:r>
      <w:r>
        <w:rPr>
          <w:color w:val="000000"/>
        </w:rPr>
        <w:t xml:space="preserve"> </w:t>
      </w:r>
    </w:p>
    <w:p w14:paraId="3ED6958E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（六）</w:t>
      </w:r>
      <w:r>
        <w:rPr>
          <w:rStyle w:val="12"/>
          <w:rFonts w:ascii="宋体" w:hAnsi="宋体" w:eastAsia="宋体" w:cs="宋体"/>
          <w:b/>
          <w:bCs/>
          <w:color w:val="000000"/>
          <w:sz w:val="32"/>
          <w:szCs w:val="32"/>
        </w:rPr>
        <w:t>单位</w:t>
      </w: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整体支出、单位项目支出、重点（专项）项目支出预算绩效目标情况说明：</w:t>
      </w:r>
      <w:r>
        <w:rPr>
          <w:rFonts w:ascii="宋体" w:hAnsi="宋体" w:eastAsia="宋体" w:cs="宋体"/>
          <w:color w:val="000000"/>
          <w:sz w:val="32"/>
          <w:szCs w:val="32"/>
        </w:rPr>
        <w:t>本单位所有支出实行绩效目标管理，其中：纳入2026年单位整体支出绩效目标的金额为550.06万元，基本支出510.06万元，单位项目支出40万元。具体绩效目标详见报表。</w:t>
      </w:r>
      <w:r>
        <w:rPr>
          <w:color w:val="000000"/>
        </w:rPr>
        <w:t xml:space="preserve"> </w:t>
      </w:r>
    </w:p>
    <w:p w14:paraId="62B7AD24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七、名词解释</w:t>
      </w:r>
      <w:r>
        <w:rPr>
          <w:color w:val="000000"/>
        </w:rPr>
        <w:t xml:space="preserve"> </w:t>
      </w:r>
    </w:p>
    <w:p w14:paraId="0BEEF584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</w:rPr>
        <w:t>1、“三公”经费：纳入省（市/县）财政预算管理的“三公”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支出。</w:t>
      </w:r>
      <w:r>
        <w:rPr>
          <w:color w:val="000000"/>
        </w:rPr>
        <w:t xml:space="preserve"> </w:t>
      </w:r>
    </w:p>
    <w:p w14:paraId="65F05FD2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</w:rPr>
        <w:t>2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5A43011E">
      <w:pPr>
        <w:pStyle w:val="9"/>
        <w:keepNext w:val="0"/>
        <w:keepLines w:val="0"/>
        <w:widowControl/>
        <w:suppressLineNumbers w:val="0"/>
        <w:spacing w:before="0" w:beforeAutospacing="0" w:after="2" w:afterAutospacing="0"/>
      </w:pPr>
    </w:p>
    <w:p w14:paraId="5D3C581E">
      <w:pPr>
        <w:spacing w:before="0" w:beforeAutospacing="0" w:after="240" w:afterAutospacing="0"/>
        <w:ind w:left="0" w:firstLine="660"/>
      </w:pPr>
    </w:p>
    <w:p w14:paraId="7F4E0E1B">
      <w:pPr>
        <w:spacing w:before="0" w:beforeAutospacing="0" w:after="2" w:afterAutospacing="0"/>
        <w:ind w:left="0" w:firstLine="660"/>
      </w:pPr>
    </w:p>
    <w:p w14:paraId="2B449D13">
      <w:pPr>
        <w:spacing w:before="0" w:beforeAutospacing="0" w:after="2" w:afterAutospacing="0"/>
        <w:ind w:left="0" w:firstLine="660"/>
      </w:pPr>
    </w:p>
    <w:p w14:paraId="23076C62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40"/>
          <w:szCs w:val="40"/>
        </w:rPr>
        <w:t>第二部分 2026年单位预算表</w:t>
      </w:r>
      <w:r>
        <w:rPr>
          <w:color w:val="000000"/>
        </w:rPr>
        <w:t xml:space="preserve"> </w:t>
      </w:r>
    </w:p>
    <w:p w14:paraId="1044F98E">
      <w:pPr>
        <w:spacing w:before="0" w:beforeAutospacing="0" w:after="2" w:afterAutospacing="0"/>
        <w:jc w:val="center"/>
      </w:pPr>
      <w:r>
        <w:rPr>
          <w:rFonts w:ascii="宋体" w:hAnsi="宋体" w:eastAsia="宋体" w:cs="宋体"/>
          <w:sz w:val="36"/>
          <w:szCs w:val="36"/>
        </w:rPr>
        <w:fldChar w:fldCharType="begin"/>
      </w:r>
      <w:r>
        <w:rPr>
          <w:rFonts w:ascii="宋体" w:hAnsi="宋体" w:eastAsia="宋体" w:cs="宋体"/>
          <w:sz w:val="36"/>
          <w:szCs w:val="36"/>
        </w:rPr>
        <w:instrText xml:space="preserve"> HYPERLINK "http://220.170.153.212:9000/home/downloadAttachment?attachGUID=ca6b772729484aa7af056ed01feccc9c" \t "_blank" </w:instrText>
      </w:r>
      <w:r>
        <w:rPr>
          <w:rFonts w:ascii="宋体" w:hAnsi="宋体" w:eastAsia="宋体" w:cs="宋体"/>
          <w:sz w:val="36"/>
          <w:szCs w:val="36"/>
        </w:rPr>
        <w:fldChar w:fldCharType="separate"/>
      </w:r>
      <w:r>
        <w:rPr>
          <w:rStyle w:val="13"/>
          <w:rFonts w:ascii="宋体" w:hAnsi="宋体" w:eastAsia="宋体" w:cs="宋体"/>
          <w:sz w:val="36"/>
          <w:szCs w:val="36"/>
        </w:rPr>
        <w:t>125007__益阳市森林公安局部门预算公开表.xlsx</w:t>
      </w:r>
      <w:r>
        <w:rPr>
          <w:rFonts w:ascii="宋体" w:hAnsi="宋体" w:eastAsia="宋体" w:cs="宋体"/>
          <w:sz w:val="36"/>
          <w:szCs w:val="36"/>
        </w:rPr>
        <w:fldChar w:fldCharType="end"/>
      </w:r>
    </w:p>
    <w:sectPr>
      <w:pgSz w:w="11906" w:h="16839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2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楷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fixed"/>
    <w:sig w:usb0="00000003" w:usb1="288F0000" w:usb2="00000006" w:usb3="00000000" w:csb0="00040001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2000009F" w:csb1="DFD70000"/>
  </w:font>
  <w:font w:name="@新宋体">
    <w:panose1 w:val="02010609030101010101"/>
    <w:charset w:val="86"/>
    <w:family w:val="auto"/>
    <w:pitch w:val="fixed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200101FF" w:csb1="20280000"/>
  </w:font>
  <w:font w:name="@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99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5B08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2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uiPriority w:val="0"/>
    <w:pPr>
      <w:widowControl/>
      <w:spacing w:before="0" w:beforeAutospacing="1" w:after="0" w:afterAutospacing="1"/>
      <w:ind w:left="0" w:right="0"/>
      <w:jc w:val="left"/>
    </w:pPr>
    <w:rPr>
      <w:rFonts w:hint="default" w:ascii="宋体" w:hAnsi="宋体" w:eastAsia="宋体" w:cs="宋体"/>
      <w:kern w:val="0"/>
      <w:sz w:val="24"/>
      <w:szCs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uiPriority w:val="0"/>
    <w:rPr>
      <w:color w:val="0000FF"/>
      <w:u w:val="single"/>
    </w:rPr>
  </w:style>
  <w:style w:type="paragraph" w:customStyle="1" w:styleId="14">
    <w:name w:val="18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2805</Words>
  <Characters>3025</Characters>
  <TotalTime>0</TotalTime>
  <ScaleCrop>false</ScaleCrop>
  <LinksUpToDate>false</LinksUpToDate>
  <CharactersWithSpaces>3111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2026-03-02T07:33:41Z</dcterms:created>
  <dc:creator>Administrator</dc:creator>
  <cp:lastModifiedBy>Chef</cp:lastModifiedBy>
  <dcterms:modified xsi:type="dcterms:W3CDTF">2026-03-02T07:33:48Z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102CF65C79CB45908382C1282E6C088B_13</vt:lpwstr>
  </property>
</Properties>
</file>